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D8" w:rsidRPr="002E55D8" w:rsidRDefault="002E55D8" w:rsidP="002E55D8">
      <w:pPr>
        <w:widowControl/>
        <w:shd w:val="clear" w:color="auto" w:fill="FDFDFD"/>
        <w:jc w:val="center"/>
        <w:rPr>
          <w:rFonts w:ascii="Calibri" w:eastAsia="新細明體" w:hAnsi="Calibri" w:cs="新細明體"/>
          <w:b/>
          <w:color w:val="000000"/>
          <w:kern w:val="0"/>
          <w:sz w:val="32"/>
          <w:szCs w:val="32"/>
        </w:rPr>
      </w:pPr>
      <w:r w:rsidRPr="002E55D8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台灣捷豹路虎股份有限公司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職務名稱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: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法規助理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全職 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約聘職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)  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工作時間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: </w:t>
      </w:r>
      <w:proofErr w:type="gramStart"/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週</w:t>
      </w:r>
      <w:proofErr w:type="gramEnd"/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休二日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週一至五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0900-1800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含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午休一小時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工作地點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: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台北市中山區</w:t>
      </w:r>
      <w:bookmarkStart w:id="0" w:name="_GoBack"/>
      <w:bookmarkEnd w:id="0"/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需求條件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: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1. 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對汽車產業有興趣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,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若對汽車產品外觀與配備等有基本認知尤佳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2. 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支援部門在台灣車輛領牌前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,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所需辦理認證之相關業務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,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包含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: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2.1 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安全審驗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,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核對國外報告後審請國內審查報告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2.2 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噪音審驗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,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核對國外證件與車輛規格是否相符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2.3 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汙染審驗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,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核對國外證件與車輛規格是否相符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2.4 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耗能審驗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,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核對國外證件與車輛規格是否相符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 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3. 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須具備耐性及細心檢查比對國外文件與車輛規格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4. 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車輛磨合與行程安排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5. 各車型相關法規實驗室檢測排程、送檢測及</w:t>
      </w:r>
      <w:proofErr w:type="gramStart"/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後續審驗申請</w:t>
      </w:r>
      <w:proofErr w:type="gramEnd"/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6. 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具中等英文聽說讀寫能力 願意勇敢用英文溝通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7. 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須具備專案管理能力並且熟悉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office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outlook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操作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8. 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男性需役畢或免役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</w:p>
    <w:p w:rsidR="002E55D8" w:rsidRPr="002E55D8" w:rsidRDefault="002E55D8" w:rsidP="002E55D8">
      <w:pPr>
        <w:widowControl/>
        <w:shd w:val="clear" w:color="auto" w:fill="FDFDFD"/>
        <w:rPr>
          <w:rFonts w:ascii="Calibri" w:eastAsia="新細明體" w:hAnsi="Calibri" w:cs="新細明體"/>
          <w:color w:val="000000"/>
          <w:kern w:val="0"/>
          <w:szCs w:val="24"/>
        </w:rPr>
      </w:pP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意者請將中英文履歷寄到</w:t>
      </w:r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</w:t>
      </w:r>
      <w:hyperlink r:id="rId5" w:tgtFrame="_blank" w:history="1">
        <w:r w:rsidRPr="002E55D8">
          <w:rPr>
            <w:rFonts w:ascii="Calibri" w:eastAsia="新細明體" w:hAnsi="Calibri" w:cs="新細明體"/>
            <w:color w:val="336699"/>
            <w:kern w:val="0"/>
            <w:szCs w:val="24"/>
          </w:rPr>
          <w:t>lyang11@jaguarlandrover.com</w:t>
        </w:r>
      </w:hyperlink>
      <w:r w:rsidRPr="002E55D8">
        <w:rPr>
          <w:rFonts w:ascii="Calibri" w:eastAsia="新細明體" w:hAnsi="Calibri" w:cs="新細明體"/>
          <w:color w:val="000000"/>
          <w:kern w:val="0"/>
          <w:szCs w:val="24"/>
        </w:rPr>
        <w:t> Lydia Yang </w:t>
      </w:r>
      <w:r w:rsidRPr="002E55D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楊小姐信箱</w:t>
      </w:r>
    </w:p>
    <w:p w:rsidR="009E642D" w:rsidRPr="002E55D8" w:rsidRDefault="009E642D"/>
    <w:sectPr w:rsidR="009E642D" w:rsidRPr="002E5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8"/>
    <w:rsid w:val="002E55D8"/>
    <w:rsid w:val="009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2E55D8"/>
  </w:style>
  <w:style w:type="character" w:styleId="a3">
    <w:name w:val="Hyperlink"/>
    <w:basedOn w:val="a0"/>
    <w:uiPriority w:val="99"/>
    <w:semiHidden/>
    <w:unhideWhenUsed/>
    <w:rsid w:val="002E5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2E55D8"/>
  </w:style>
  <w:style w:type="character" w:styleId="a3">
    <w:name w:val="Hyperlink"/>
    <w:basedOn w:val="a0"/>
    <w:uiPriority w:val="99"/>
    <w:semiHidden/>
    <w:unhideWhenUsed/>
    <w:rsid w:val="002E5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ng11@jaguarlandro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2020-09-09T00:46:00Z</dcterms:created>
  <dcterms:modified xsi:type="dcterms:W3CDTF">2020-09-09T00:47:00Z</dcterms:modified>
</cp:coreProperties>
</file>